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-2647937</wp:posOffset>
            </wp:positionH>
            <wp:positionV relativeFrom="paragraph">
              <wp:posOffset>-914385</wp:posOffset>
            </wp:positionV>
            <wp:extent cx="5732145" cy="4373880"/>
            <wp:effectExtent b="0" l="0" r="0" t="0"/>
            <wp:wrapNone/>
            <wp:docPr id="1597007058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3738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-389876</wp:posOffset>
            </wp:positionH>
            <wp:positionV relativeFrom="paragraph">
              <wp:posOffset>-514333</wp:posOffset>
            </wp:positionV>
            <wp:extent cx="3048000" cy="834853"/>
            <wp:effectExtent b="0" l="0" r="0" t="0"/>
            <wp:wrapNone/>
            <wp:docPr id="159700705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3485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685800</wp:posOffset>
                </wp:positionH>
                <wp:positionV relativeFrom="paragraph">
                  <wp:posOffset>74295</wp:posOffset>
                </wp:positionV>
                <wp:extent cx="4476750" cy="838200"/>
                <wp:effectExtent b="0" l="0" r="0" t="0"/>
                <wp:wrapSquare wrapText="bothSides" distB="45720" distT="45720" distL="114300" distR="114300"/>
                <wp:docPr id="1597007056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131755" y="3444720"/>
                          <a:ext cx="4428490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ΣΧ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Ε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ΔΙΟ ΜΑΘ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Η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ΜΑΤΟΣ ΚΑΤ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Α</w:t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1"/>
                                <w:i w:val="0"/>
                                <w:smallCaps w:val="0"/>
                                <w:strike w:val="0"/>
                                <w:color w:val="16c45b"/>
                                <w:sz w:val="60"/>
                                <w:vertAlign w:val="baseline"/>
                              </w:rPr>
                              <w:t xml:space="preserve">ΡΤΙΣΗΣ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685800</wp:posOffset>
                </wp:positionH>
                <wp:positionV relativeFrom="paragraph">
                  <wp:posOffset>74295</wp:posOffset>
                </wp:positionV>
                <wp:extent cx="4476750" cy="838200"/>
                <wp:effectExtent b="0" l="0" r="0" t="0"/>
                <wp:wrapSquare wrapText="bothSides" distB="45720" distT="45720" distL="114300" distR="114300"/>
                <wp:docPr id="159700705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76750" cy="838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4733925" cy="967867"/>
                <wp:effectExtent b="0" l="0" r="0" t="0"/>
                <wp:wrapSquare wrapText="bothSides" distB="45720" distT="45720" distL="114300" distR="114300"/>
                <wp:docPr id="159700705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002850" y="3307560"/>
                          <a:ext cx="4686300" cy="94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ΠΕ3: Επιμόρφωση εκπαιδευτικών για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αυθεντική και συμπεριληπτική ως προς το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5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1"/>
                                <w:smallCaps w:val="0"/>
                                <w:strike w:val="0"/>
                                <w:color w:val="1d1d1b"/>
                                <w:sz w:val="36"/>
                                <w:vertAlign w:val="baseline"/>
                              </w:rPr>
                              <w:t xml:space="preserve">φύλο εκπαίδευση στην πληροφορική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4733925" cy="967867"/>
                <wp:effectExtent b="0" l="0" r="0" t="0"/>
                <wp:wrapSquare wrapText="bothSides" distB="45720" distT="45720" distL="114300" distR="114300"/>
                <wp:docPr id="159700705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33925" cy="96786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866140</wp:posOffset>
            </wp:positionH>
            <wp:positionV relativeFrom="paragraph">
              <wp:posOffset>187325</wp:posOffset>
            </wp:positionV>
            <wp:extent cx="4000500" cy="1409700"/>
            <wp:effectExtent b="0" l="0" r="0" t="0"/>
            <wp:wrapNone/>
            <wp:docPr id="1597007060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097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E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6264"/>
        </w:tabs>
        <w:rPr/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52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1555"/>
        <w:gridCol w:w="7512"/>
        <w:tblGridChange w:id="0">
          <w:tblGrid>
            <w:gridCol w:w="1555"/>
            <w:gridCol w:w="7512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0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ΓΕΝΙΚΈΣ ΠΛΗΡΟΦΟΡΊΕΣ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Ενότητα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Ενότητα 7: Έρευνα δράσης: οι εκπαιδευτικοί ως συνδημιουργοί λύσεων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Μονάδα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7.1: Προσδιορισμός των προκλήσεων της τάξης και των ερευνητικών ερωτημάτων</w:t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Ομάδα-στόχος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Εκπαιδευτικοί/εκπαιδευτές ανώτερης πρωτοβάθμιας/κατώτερης δευτεροβάθμιας εκπαίδευσης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Διάρκεια</w:t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60 λεπτά (ο προσωπικός χρόνος μελέτης δεν περιλαμβάνεται)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Προαπαιτούμενα</w:t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/</w:t>
            </w:r>
          </w:p>
        </w:tc>
      </w:tr>
      <w:tr>
        <w:trPr>
          <w:cantSplit w:val="0"/>
          <w:trHeight w:val="415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ECTS</w:t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0,04</w:t>
            </w:r>
          </w:p>
        </w:tc>
      </w:tr>
    </w:tbl>
    <w:p w:rsidR="00000000" w:rsidDel="00000000" w:rsidP="00000000" w:rsidRDefault="00000000" w:rsidRPr="00000000" w14:paraId="0000001E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421"/>
        <w:gridCol w:w="8646"/>
        <w:tblGridChange w:id="0">
          <w:tblGrid>
            <w:gridCol w:w="421"/>
            <w:gridCol w:w="8646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0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ΜΑΘΗΣΙΑΚΆ ΑΠΟΤΕΛΈΣΜΑΤΑ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line="216" w:lineRule="auto"/>
              <w:ind w:left="0" w:firstLine="0"/>
              <w:rPr>
                <w:color w:val="1d1d1b"/>
              </w:rPr>
            </w:pPr>
            <w:r w:rsidDel="00000000" w:rsidR="00000000" w:rsidRPr="00000000">
              <w:rPr>
                <w:b w:val="1"/>
                <w:color w:val="1d1d1b"/>
                <w:rtl w:val="0"/>
              </w:rPr>
              <w:t xml:space="preserve">Προσδιορίστε τα βήματα που απαιτούνται για τη διεξαγωγή έρευνας δράσης, </w:t>
            </w:r>
            <w:r w:rsidDel="00000000" w:rsidR="00000000" w:rsidRPr="00000000">
              <w:rPr>
                <w:color w:val="1d1d1b"/>
                <w:rtl w:val="0"/>
              </w:rPr>
              <w:t xml:space="preserve">συμπεριλαμβανομένου του εντοπισμού του προβλήματος, του σχεδιασμού και της εφαρμογής των αλλαγών στην τάξη.</w:t>
            </w:r>
          </w:p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0.6640625" w:hRule="atLeast"/>
          <w:tblHeader w:val="0"/>
        </w:trPr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Προσδιορισμός και τεκμηρίωση ενός προβλήματος στην τάξη για έρευνα δράσης </w:t>
            </w:r>
            <w:r w:rsidDel="00000000" w:rsidR="00000000" w:rsidRPr="00000000">
              <w:rPr>
                <w:rtl w:val="0"/>
              </w:rPr>
              <w:t xml:space="preserve">με σκοπό την ενίσχυση των διδακτικών πρακτικών και τη βελτίωση των αποτελεσμάτων της εκπαίδευσης στην πληροφορική.</w:t>
            </w:r>
          </w:p>
          <w:p w:rsidR="00000000" w:rsidDel="00000000" w:rsidP="00000000" w:rsidRDefault="00000000" w:rsidRPr="00000000" w14:paraId="0000002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pPr w:leftFromText="180" w:rightFromText="180" w:topFromText="0" w:bottomFromText="0" w:vertAnchor="text" w:horzAnchor="text" w:tblpX="0" w:tblpY="224"/>
        <w:tblW w:w="9088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562"/>
        <w:gridCol w:w="3969"/>
        <w:gridCol w:w="567"/>
        <w:gridCol w:w="3973"/>
        <w:gridCol w:w="17"/>
        <w:tblGridChange w:id="0">
          <w:tblGrid>
            <w:gridCol w:w="562"/>
            <w:gridCol w:w="3969"/>
            <w:gridCol w:w="567"/>
            <w:gridCol w:w="3973"/>
            <w:gridCol w:w="17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A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ΜΕΘΟΔΟΙ ΔΙΔΑΣΚΑΛΙΑΣ (επιλέξτε όλα όσα ισχύουν)</w:t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Μαθαίνοντας με την πράξη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Μάθηση από ομότιμους</w:t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Μάθηση βασισμένη σε έργα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Πρακτική μάθηση</w:t>
            </w:r>
          </w:p>
        </w:tc>
      </w:tr>
      <w:tr>
        <w:trPr>
          <w:cantSplit w:val="0"/>
          <w:trHeight w:val="40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Στρατηγικές ενεργητικής μάθησης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Συνεργατική μάθηση</w:t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√</w:t>
            </w:r>
          </w:p>
        </w:tc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Μικτή μάθηση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tabs>
          <w:tab w:val="left" w:leader="none" w:pos="6264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ΕΚΠΑΙΔΕΥΤΙΚΌ ΥΛΙΚΌ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Απαιτούμενο υλικό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Διαφάνειες PPT- αυτοκόλλητες σημειώσεις ή ψηφιακό ισοδύναμο (</w:t>
            </w:r>
            <w:hyperlink r:id="rId11">
              <w:r w:rsidDel="00000000" w:rsidR="00000000" w:rsidRPr="00000000">
                <w:rPr>
                  <w:color w:val="000000"/>
                  <w:u w:val="single"/>
                  <w:rtl w:val="0"/>
                </w:rPr>
                <w:t xml:space="preserve">Miro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, </w:t>
            </w:r>
            <w:hyperlink r:id="rId12">
              <w:r w:rsidDel="00000000" w:rsidR="00000000" w:rsidRPr="00000000">
                <w:rPr>
                  <w:color w:val="000000"/>
                  <w:u w:val="single"/>
                  <w:rtl w:val="0"/>
                </w:rPr>
                <w:t xml:space="preserve">FigJam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)- Χρονοδιακόπτης</w:t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Πρόσθετοι πόροι</w:t>
            </w:r>
          </w:p>
        </w:tc>
        <w:tc>
          <w:tcPr/>
          <w:p w:rsidR="00000000" w:rsidDel="00000000" w:rsidP="00000000" w:rsidRDefault="00000000" w:rsidRPr="00000000" w14:paraId="00000045">
            <w:pPr>
              <w:numPr>
                <w:ilvl w:val="0"/>
                <w:numId w:val="6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Mertler, C. A. (2019). 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Έρευνα δράσης: Βελτίωση των σχολείων και ενδυνάμωση των εκπαιδευτικών </w:t>
            </w:r>
            <w:r w:rsidDel="00000000" w:rsidR="00000000" w:rsidRPr="00000000">
              <w:rPr>
                <w:color w:val="000000"/>
                <w:rtl w:val="0"/>
              </w:rPr>
              <w:t xml:space="preserve">(6η έκδοση). SAGE. https://books.google.it/books?id=_KahDwAAQBAJ&amp;lpg=PP1&amp;pg=PP1#v=onepage&amp;q&amp;f=false. 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6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Ινστιτούτο Ηγεσίας του Δικτύου Εκπαιδευτικών. 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Πώς να κάνετε έρευνα δράσης στην τάξη σας. </w:t>
            </w:r>
            <w:r w:rsidDel="00000000" w:rsidR="00000000" w:rsidRPr="00000000">
              <w:rPr>
                <w:color w:val="000000"/>
                <w:rtl w:val="0"/>
              </w:rPr>
              <w:t xml:space="preserve">Ανακτήθηκε από την </w:t>
            </w:r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ιστοσελίδα 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https://www.naeyc.org/sites/default/files/globally-shared/downloads/PDFs/resources/pubs/How%20to%20do%20Action%20Research.pdf.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6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Εθνικό Ίδρυμα Εκπαιδευτικής Έρευνας (NFER). (n.d.). 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Πώς να εκτελέσετε ένα πρόγραμμα έρευνας δράσης: Ένας οδηγός "κάνε το μόνος σου". </w:t>
            </w:r>
            <w:r w:rsidDel="00000000" w:rsidR="00000000" w:rsidRPr="00000000">
              <w:rPr>
                <w:color w:val="000000"/>
                <w:rtl w:val="0"/>
              </w:rPr>
              <w:t xml:space="preserve">Ανακτήθηκε από την </w:t>
            </w:r>
            <w:hyperlink r:id="rId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ιστοσελίδα 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https://www.nfer.ac.uk/media/texbxexa/how_to_run_action_research_do_it_yourself.pdf.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6"/>
              </w:numPr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Efron, S. E., &amp; Ravid, R. (2019). 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Έρευνα δράσης στην εκπαίδευση: </w:t>
            </w:r>
            <w:r w:rsidDel="00000000" w:rsidR="00000000" w:rsidRPr="00000000">
              <w:rPr>
                <w:color w:val="000000"/>
                <w:rtl w:val="0"/>
              </w:rPr>
              <w:t xml:space="preserve">(2η έκδοση). Guilford Press. Ανακτήθηκε από https://www.daneshnamehicsa.ir/userfiles/files/1/9-%20Action%20Research%20in%20Education_%20A%20Practical%20Guide.pdf.</w:t>
            </w:r>
          </w:p>
          <w:p w:rsidR="00000000" w:rsidDel="00000000" w:rsidP="00000000" w:rsidRDefault="00000000" w:rsidRPr="00000000" w14:paraId="00000049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ind w:left="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ind w:left="0"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tabs>
          <w:tab w:val="left" w:leader="none" w:pos="1620"/>
        </w:tabs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5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ΠΕΡΙΕΧΟΜΕΝΟ ΜΟΝΑΔΑΣ</w:t>
            </w:r>
          </w:p>
          <w:p w:rsidR="00000000" w:rsidDel="00000000" w:rsidP="00000000" w:rsidRDefault="00000000" w:rsidRPr="00000000" w14:paraId="0000004E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50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Δραστηριότητες</w:t>
            </w:r>
          </w:p>
        </w:tc>
        <w:tc>
          <w:tcPr/>
          <w:p w:rsidR="00000000" w:rsidDel="00000000" w:rsidP="00000000" w:rsidRDefault="00000000" w:rsidRPr="00000000" w14:paraId="00000051">
            <w:pPr>
              <w:pStyle w:val="Heading3"/>
              <w:spacing w:after="80" w:before="280" w:lineRule="auto"/>
              <w:rPr>
                <w:i w:val="0"/>
                <w:u w:val="single"/>
              </w:rPr>
            </w:pPr>
            <w:bookmarkStart w:colFirst="0" w:colLast="0" w:name="_heading=h.wf3ug9ju0s3g" w:id="0"/>
            <w:bookmarkEnd w:id="0"/>
            <w:r w:rsidDel="00000000" w:rsidR="00000000" w:rsidRPr="00000000">
              <w:rPr>
                <w:i w:val="0"/>
                <w:u w:val="single"/>
                <w:rtl w:val="0"/>
              </w:rPr>
              <w:t xml:space="preserve">1. Εισαγωγή -Τι είναι η έρευνα δράσης; (15 λεπτά)</w:t>
            </w:r>
          </w:p>
          <w:p w:rsidR="00000000" w:rsidDel="00000000" w:rsidP="00000000" w:rsidRDefault="00000000" w:rsidRPr="00000000" w14:paraId="00000052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i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Διαφάνεια 5: Δραστηριότητα 1 - Ποια είναι η δική σας ιστορία αλλαγής; (10 λεπτά)</w:t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3"/>
              </w:numPr>
              <w:spacing w:after="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 Ανάκληση: </w:t>
            </w:r>
            <w:r w:rsidDel="00000000" w:rsidR="00000000" w:rsidRPr="00000000">
              <w:rPr>
                <w:color w:val="000000"/>
                <w:rtl w:val="0"/>
              </w:rPr>
              <w:t xml:space="preserve">οι εκπαιδευτικοί αναλογίζονται ένα πρόβλημα της τάξης που αντιμετώπισαν στο παρελθόν και σημειώνουν λέξεις-κλειδιά σε κάρτες.</w:t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5"/>
              </w:numPr>
              <w:spacing w:after="0" w:before="0" w:lineRule="auto"/>
              <w:ind w:left="1440" w:hanging="360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Παράδειγμα:</w:t>
            </w:r>
            <w:r w:rsidDel="00000000" w:rsidR="00000000" w:rsidRPr="00000000">
              <w:rPr>
                <w:color w:val="000000"/>
                <w:rtl w:val="0"/>
              </w:rPr>
              <w:t xml:space="preserve"> "Τα κορίτσια απέφυγαν τον εντοπισμό σφαλμάτων → τα ζευγάρωσαν ως "ηγέτες" → είδαν περισσότερες προσπάθειες."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5"/>
              </w:numPr>
              <w:spacing w:after="0" w:before="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Ζευγάρια και σύγκριση: </w:t>
            </w:r>
            <w:r w:rsidDel="00000000" w:rsidR="00000000" w:rsidRPr="00000000">
              <w:rPr>
                <w:color w:val="000000"/>
                <w:rtl w:val="0"/>
              </w:rPr>
              <w:t xml:space="preserve">οι εκπαιδευτικοί μοιράζονται ιστορίες σε ζεύγη χρησιμοποιώντας ερωτήσεις-οδηγούς:</w:t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5"/>
              </w:numPr>
              <w:spacing w:after="0" w:before="0" w:lineRule="auto"/>
              <w:ind w:left="1440" w:hanging="360"/>
              <w:rPr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Πώς εντοπίσατε το πρόβλημα;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5"/>
              </w:numPr>
              <w:spacing w:after="0" w:before="0" w:lineRule="auto"/>
              <w:ind w:left="1440" w:hanging="360"/>
              <w:rPr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Ποια αλλαγή δοκιμάσατε;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5"/>
              </w:numPr>
              <w:spacing w:after="0" w:before="0" w:lineRule="auto"/>
              <w:ind w:left="1440" w:hanging="360"/>
              <w:rPr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Πώς μετρήσατε την επιτυχία;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5"/>
              </w:numPr>
              <w:spacing w:before="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Ορισμός της έρευνας δράσης από κοινού: </w:t>
            </w:r>
            <w:r w:rsidDel="00000000" w:rsidR="00000000" w:rsidRPr="00000000">
              <w:rPr>
                <w:color w:val="000000"/>
                <w:rtl w:val="0"/>
              </w:rPr>
              <w:t xml:space="preserve">ο συντονιστής συγκεντρώνει θέματα και συν-ορίζει την ΑΡ με την ομάδα.</w:t>
            </w:r>
          </w:p>
          <w:p w:rsidR="00000000" w:rsidDel="00000000" w:rsidP="00000000" w:rsidRDefault="00000000" w:rsidRPr="00000000" w14:paraId="0000005B">
            <w:pPr>
              <w:spacing w:before="6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before="6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Διαφάνεια 6 - 10 (5 λεπτά)</w:t>
            </w:r>
          </w:p>
          <w:p w:rsidR="00000000" w:rsidDel="00000000" w:rsidP="00000000" w:rsidRDefault="00000000" w:rsidRPr="00000000" w14:paraId="0000005D">
            <w:pPr>
              <w:spacing w:before="6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Διαφάνεια 6: Ορισμός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1"/>
              </w:numPr>
              <w:spacing w:after="0" w:lineRule="auto"/>
              <w:ind w:left="720" w:hanging="360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Επισκόπηση: </w:t>
            </w:r>
            <w:r w:rsidDel="00000000" w:rsidR="00000000" w:rsidRPr="00000000">
              <w:rPr>
                <w:color w:val="000000"/>
                <w:rtl w:val="0"/>
              </w:rPr>
              <w:t xml:space="preserve">Εξηγήστε την έρευνα δράσης (ΕΔ) ως μια αναστοχαστική, επαναληπτική διαδικασία κατά την οποία οι εκπαιδευτικοί διερευνούν τις προκλήσεις της τάξης, εφαρμόζουν λύσεις και αξιολογούν τον αντίκτυπο.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1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Βασικό απόσπασμα: </w:t>
            </w:r>
            <w:r w:rsidDel="00000000" w:rsidR="00000000" w:rsidRPr="00000000">
              <w:rPr>
                <w:color w:val="000000"/>
                <w:rtl w:val="0"/>
              </w:rPr>
              <w:t xml:space="preserve">"Η έρευνα γίνεται </w:t>
            </w: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από </w:t>
            </w:r>
            <w:r w:rsidDel="00000000" w:rsidR="00000000" w:rsidRPr="00000000">
              <w:rPr>
                <w:color w:val="000000"/>
                <w:rtl w:val="0"/>
              </w:rPr>
              <w:t xml:space="preserve">εκπαιδευτικούς, για </w:t>
            </w: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τις </w:t>
            </w:r>
            <w:r w:rsidDel="00000000" w:rsidR="00000000" w:rsidRPr="00000000">
              <w:rPr>
                <w:color w:val="000000"/>
                <w:rtl w:val="0"/>
              </w:rPr>
              <w:t xml:space="preserve">τάξεις τους".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1"/>
              </w:numPr>
              <w:spacing w:after="0" w:before="0" w:lineRule="auto"/>
              <w:ind w:left="720" w:hanging="360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Σημασία της AR: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numPr>
                <w:ilvl w:val="1"/>
                <w:numId w:val="1"/>
              </w:numPr>
              <w:spacing w:after="0" w:before="0" w:lineRule="auto"/>
              <w:ind w:left="1440" w:hanging="360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Συνδέει τη θεωρία με την πράξη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1"/>
              </w:numPr>
              <w:spacing w:before="0" w:lineRule="auto"/>
              <w:ind w:left="1440" w:hanging="360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Ενδυναμώνει τους εκπαιδευτικούς να αντιμετωπίσουν κενά ισότητας (π.χ. ανισότητες μεταξύ των φύλων στην πληροφορική)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before="180" w:lineRule="auto"/>
              <w:ind w:left="0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Διαφάνεια 7: Ιστορική επισκόπηση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1"/>
              </w:numPr>
              <w:spacing w:before="60" w:lineRule="auto"/>
              <w:ind w:left="720" w:hanging="360"/>
              <w:rPr>
                <w:rFonts w:ascii="Calibri" w:cs="Calibri" w:eastAsia="Calibri" w:hAnsi="Calibri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Ιστορικό πλαίσιο: </w:t>
            </w:r>
            <w:r w:rsidDel="00000000" w:rsidR="00000000" w:rsidRPr="00000000">
              <w:rPr>
                <w:color w:val="000000"/>
                <w:rtl w:val="0"/>
              </w:rPr>
              <w:t xml:space="preserve">Freire και Bridget Somekh.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before="60" w:lineRule="auto"/>
              <w:ind w:left="0" w:firstLine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Διαφάνεια 8: Βίντεο: Τι είναι η Έρευνα Δράσης;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9"/>
              </w:numPr>
              <w:spacing w:before="60" w:lineRule="auto"/>
              <w:ind w:left="720" w:hanging="36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Βίντεο στο Youtube: </w:t>
            </w:r>
            <w:r w:rsidDel="00000000" w:rsidR="00000000" w:rsidRPr="00000000">
              <w:rPr>
                <w:color w:val="000000"/>
                <w:rtl w:val="0"/>
              </w:rPr>
              <w:t xml:space="preserve">Τι είναι η Έρευνα Δράσης; Μια οπτική εξήγηση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before="6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before="6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Διαφάνεια 9: Ο κύκλος έρευνας δράσης 5 βημάτων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2"/>
              </w:numPr>
              <w:spacing w:before="60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Infographic: </w:t>
            </w:r>
            <w:r w:rsidDel="00000000" w:rsidR="00000000" w:rsidRPr="00000000">
              <w:rPr>
                <w:color w:val="000000"/>
                <w:rtl w:val="0"/>
              </w:rPr>
              <w:t xml:space="preserve">παρουσιάστε στους εκπαιδευόμενους τον κύκλο 5 βημάτων AR.</w:t>
            </w:r>
          </w:p>
          <w:p w:rsidR="00000000" w:rsidDel="00000000" w:rsidP="00000000" w:rsidRDefault="00000000" w:rsidRPr="00000000" w14:paraId="0000006A">
            <w:pPr>
              <w:spacing w:before="6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Διαφάνεια 10: Πώς η έρευνα δράσης (ΕΔ) ενδυναμώνει τους εκπαιδευτικούς να δημιουργήσουν εμπειρίες μάθησης χωρίς αποκλεισμούς φύλου και αυθεντικές εμπειρίες μάθησης στην εκπαίδευση της πληροφορικής;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2"/>
              </w:numPr>
              <w:spacing w:before="60" w:lineRule="auto"/>
              <w:ind w:left="720" w:hanging="360"/>
              <w:rPr>
                <w:color w:val="000000"/>
                <w:u w:val="none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Υπογραμμίστε εν συντομία τη σημασία που έχει για τους εκπαιδευτικούς η εφαρμογή της ΑΡ στην τάξη.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numPr>
                <w:ilvl w:val="1"/>
                <w:numId w:val="2"/>
              </w:numPr>
              <w:spacing w:line="216" w:lineRule="auto"/>
              <w:ind w:left="1440" w:hanging="360"/>
              <w:rPr>
                <w:color w:val="000000"/>
                <w:u w:val="none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λύσεις βασισμένες σε αποδείξεις και συγκεκριμένες για το συγκεκριμένο πλαίσιο,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numPr>
                <w:ilvl w:val="1"/>
                <w:numId w:val="2"/>
              </w:numPr>
              <w:spacing w:line="216" w:lineRule="auto"/>
              <w:ind w:left="1440" w:hanging="360"/>
              <w:rPr>
                <w:color w:val="000000"/>
                <w:u w:val="none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με επίκεντρο τον μαθητή και χωρίς αποκλεισμούς,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numPr>
                <w:ilvl w:val="1"/>
                <w:numId w:val="2"/>
              </w:numPr>
              <w:spacing w:line="216" w:lineRule="auto"/>
              <w:ind w:left="1440" w:hanging="360"/>
              <w:rPr>
                <w:color w:val="000000"/>
                <w:u w:val="none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επαναληπτική βελτίωση.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after="20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pStyle w:val="Heading3"/>
              <w:spacing w:after="80" w:before="280" w:lineRule="auto"/>
              <w:rPr>
                <w:i w:val="0"/>
                <w:color w:val="000000"/>
              </w:rPr>
            </w:pPr>
            <w:bookmarkStart w:colFirst="0" w:colLast="0" w:name="_heading=h.qp3i3zzqeff" w:id="1"/>
            <w:bookmarkEnd w:id="1"/>
            <w:r w:rsidDel="00000000" w:rsidR="00000000" w:rsidRPr="00000000">
              <w:rPr>
                <w:i w:val="0"/>
                <w:u w:val="single"/>
                <w:rtl w:val="0"/>
              </w:rPr>
              <w:t xml:space="preserve">2. Προσδιορισμός - Διαμόρφωση των προκλήσεων της τάξης (40 λεπτά)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spacing w:line="216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spacing w:line="216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Διαφάνεια 11: Τι είναι μια πρόκληση στην τάξη και πώς να την πλαισιώσετε; (5 λεπτά)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2"/>
              </w:numPr>
              <w:spacing w:before="60" w:lineRule="auto"/>
              <w:ind w:left="720" w:hanging="360"/>
              <w:rPr>
                <w:b w:val="0"/>
                <w:i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Παρουσιάστε στους εκπαιδευτικούς την έννοια της πρόκλησης στην τάξη και τα βήματα για τη διαμόρφωσή της.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before="6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before="6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Διαφάνεια 12: Δραστηριότητα 2 - Καταιγισμός ιδεών για τις προκλήσεις (10 λεπτά)</w:t>
            </w:r>
          </w:p>
          <w:p w:rsidR="00000000" w:rsidDel="00000000" w:rsidP="00000000" w:rsidRDefault="00000000" w:rsidRPr="00000000" w14:paraId="00000077">
            <w:pPr>
              <w:rPr>
                <w:i w:val="1"/>
                <w:color w:val="000000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(Διαφάνεια PPT: Προσδιορισμός - Διαμόρφωση των προκλήσεων στην τάξη)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14"/>
              </w:numPr>
              <w:spacing w:after="0" w:lineRule="auto"/>
              <w:ind w:left="720" w:hanging="360"/>
              <w:rPr>
                <w:b w:val="0"/>
                <w:i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Ατομικός καταιγισμός ιδεών: </w:t>
            </w:r>
            <w:r w:rsidDel="00000000" w:rsidR="00000000" w:rsidRPr="00000000">
              <w:rPr>
                <w:color w:val="000000"/>
                <w:rtl w:val="0"/>
              </w:rPr>
              <w:t xml:space="preserve">οι εκπαιδευτικοί καταγράφουν 2-3 προκλήσεις σε αυτοκόλλητες σημειώσεις χρησιμοποιώντας υποδείξεις: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8"/>
              </w:numPr>
              <w:spacing w:after="0" w:before="0" w:lineRule="auto"/>
              <w:ind w:left="1440" w:hanging="360"/>
              <w:rPr>
                <w:rFonts w:ascii="Calibri" w:cs="Calibri" w:eastAsia="Calibri" w:hAnsi="Calibri"/>
                <w:b w:val="0"/>
                <w:i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Πού βλέπετε κενά μεταξύ των δύο φύλων στην πληροφορική;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8"/>
              </w:numPr>
              <w:spacing w:after="0" w:before="0" w:lineRule="auto"/>
              <w:ind w:left="1440" w:hanging="360"/>
              <w:rPr>
                <w:rFonts w:ascii="Calibri" w:cs="Calibri" w:eastAsia="Calibri" w:hAnsi="Calibri"/>
                <w:b w:val="0"/>
                <w:i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Ποια θέματα αφήνουν πίσω τους μαθητές;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8"/>
              </w:numPr>
              <w:spacing w:before="0" w:lineRule="auto"/>
              <w:ind w:left="1440" w:hanging="360"/>
              <w:rPr>
                <w:rFonts w:ascii="Calibri" w:cs="Calibri" w:eastAsia="Calibri" w:hAnsi="Calibri"/>
                <w:b w:val="0"/>
                <w:i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Ποια συστημικά εμπόδια υπάρχουν;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10"/>
              </w:numPr>
              <w:ind w:left="720" w:hanging="360"/>
              <w:rPr>
                <w:b w:val="0"/>
                <w:i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Ομαδική σύνθεση:</w:t>
            </w:r>
            <w:r w:rsidDel="00000000" w:rsidR="00000000" w:rsidRPr="00000000">
              <w:rPr>
                <w:color w:val="000000"/>
                <w:rtl w:val="0"/>
              </w:rPr>
              <w:t xml:space="preserve"> σε μια αφίσα.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200" w:lineRule="auto"/>
              <w:rPr>
                <w:i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Διαφάνεια 13: Δραστηριότητα 3 - Αναστοχασμός σχετικά με τις προκλήσεις που εντοπίστηκαν (15 λεπτά)</w:t>
              <w:br w:type="textWrapping"/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(Διαφάνεια PPT: Προσδιορισμός - διαμόρφωση των προκλήσεων στην τάξη)</w:t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13"/>
              </w:numPr>
              <w:ind w:left="720" w:hanging="360"/>
              <w:rPr>
                <w:b w:val="0"/>
                <w:i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Άσκηση αναστοχασμού</w:t>
            </w:r>
            <w:r w:rsidDel="00000000" w:rsidR="00000000" w:rsidRPr="00000000">
              <w:rPr>
                <w:color w:val="000000"/>
                <w:rtl w:val="0"/>
              </w:rPr>
              <w:t xml:space="preserve">: οι εκπαιδευτικοί αναστοχάζονται σχετικά με τις προκλήσεις που κατέγραψαν κατά την προηγούμενη δραστηριότητα.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Προσπαθούν να απαντήσουν στις ακόλουθες ερωτήσεις, καταγράφοντας τις απαντήσεις τους: 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4"/>
              </w:numPr>
              <w:ind w:left="1440" w:hanging="360"/>
              <w:rPr>
                <w:b w:val="0"/>
                <w:i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ΣΗΜΑΣΙΑ: Γιατί έχει σημασία αυτή η πρόκληση;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4"/>
              </w:numPr>
              <w:ind w:left="1440" w:hanging="360"/>
              <w:rPr>
                <w:b w:val="0"/>
                <w:i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ROOT: Ποια είναι η ένταση της ρίζας;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4"/>
              </w:numPr>
              <w:ind w:left="1440" w:hanging="360"/>
              <w:rPr>
                <w:b w:val="0"/>
                <w:i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ΠΡΟΗΓΟΎΜΕΝΑ ΠΕΙΡΆΜΑΤΑ: Τι έχω ήδη δοκιμάσει; Τι λειτούργησε/απέτυχε;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4"/>
              </w:numPr>
              <w:ind w:left="1440" w:hanging="360"/>
              <w:rPr>
                <w:b w:val="0"/>
                <w:i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ΡΥΘΜΙΣΗ: (π.χ., μέσω στρατηγικών διδασκαλίας, όχι μόνο μέσω αλλαγών πολιτικής); Μπορώ να το λύσω προσαρμόζοντας την προσέγγισή μου;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4"/>
              </w:numPr>
              <w:ind w:left="1440" w:hanging="360"/>
              <w:rPr>
                <w:b w:val="0"/>
                <w:i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ΔΙΑΤΜΗΜΑΤΙΚΟΤΗΤΑ: Η συγκεκριμένη πρόκληση επηρεάζει άδικα ορισμένες ομάδες φοιτητών με βάση τη διασταύρωση των μοναδικών χαρακτηριστικών ταυτότητάς τους (δηλαδή, το ζήτημα επηρεάζει δυσανάλογα περιθωριοποιημένες ομάδες);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4"/>
              </w:numPr>
              <w:ind w:left="1440" w:hanging="360"/>
              <w:rPr>
                <w:b w:val="0"/>
                <w:i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ΥΠΟΘΕΣΕΙΣ: Τι υποθέσεις κάνω;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spacing w:after="20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Οι εκπαιδευτικοί κρατούν τις σημειώσεις τους για αργότερα. </w:t>
            </w:r>
          </w:p>
          <w:p w:rsidR="00000000" w:rsidDel="00000000" w:rsidP="00000000" w:rsidRDefault="00000000" w:rsidRPr="00000000" w14:paraId="00000089">
            <w:pPr>
              <w:spacing w:after="20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Διαφάνεια 14-16: (10 λεπτά)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7"/>
              </w:numPr>
              <w:spacing w:after="0" w:lineRule="auto"/>
              <w:ind w:left="720" w:hanging="360"/>
              <w:rPr>
                <w:b w:val="0"/>
                <w:i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Σχέδιο ερωτήσεων</w:t>
            </w:r>
            <w:r w:rsidDel="00000000" w:rsidR="00000000" w:rsidRPr="00000000">
              <w:rPr>
                <w:color w:val="000000"/>
                <w:rtl w:val="0"/>
              </w:rPr>
              <w:t xml:space="preserve">: Οι εκπαιδευτικοί γράφουν ένα πρώτο σχέδιο ερώτησης ΑΡ (π.χ., </w:t>
            </w:r>
            <w:r w:rsidDel="00000000" w:rsidR="00000000" w:rsidRPr="00000000">
              <w:rPr>
                <w:i w:val="1"/>
                <w:color w:val="000000"/>
                <w:rtl w:val="0"/>
              </w:rPr>
              <w:t xml:space="preserve">"Γιατί τα κορίτσια αποφεύγουν την αποσφαλμάτωση;"</w:t>
            </w:r>
            <w:r w:rsidDel="00000000" w:rsidR="00000000" w:rsidRPr="00000000">
              <w:rPr>
                <w:color w:val="000000"/>
                <w:rtl w:val="0"/>
              </w:rPr>
              <w:t xml:space="preserve">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7"/>
              </w:numPr>
              <w:spacing w:after="0" w:before="0" w:lineRule="auto"/>
              <w:ind w:left="720" w:hanging="360"/>
              <w:rPr>
                <w:b w:val="0"/>
                <w:i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Ανατροφοδότηση από ομότιμους:</w:t>
            </w:r>
            <w:r w:rsidDel="00000000" w:rsidR="00000000" w:rsidRPr="00000000">
              <w:rPr>
                <w:color w:val="000000"/>
                <w:rtl w:val="0"/>
              </w:rPr>
              <w:t xml:space="preserve"> Βελτίωση των ερωτήσεων με τη χρήση κριτηρίων: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numPr>
                <w:ilvl w:val="1"/>
                <w:numId w:val="12"/>
              </w:numPr>
              <w:spacing w:after="0" w:before="0" w:lineRule="auto"/>
              <w:ind w:left="1440" w:hanging="360"/>
              <w:rPr>
                <w:rFonts w:ascii="Calibri" w:cs="Calibri" w:eastAsia="Calibri" w:hAnsi="Calibri"/>
                <w:b w:val="0"/>
                <w:i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Συγκεκριμένοι, εφαρμόσιμοι, μετρήσιμοι.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12"/>
              </w:numPr>
              <w:spacing w:before="0" w:lineRule="auto"/>
              <w:ind w:left="1440" w:hanging="360"/>
              <w:rPr>
                <w:rFonts w:ascii="Calibri" w:cs="Calibri" w:eastAsia="Calibri" w:hAnsi="Calibri"/>
                <w:b w:val="0"/>
                <w:i w:val="0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i w:val="1"/>
                <w:color w:val="000000"/>
                <w:rtl w:val="0"/>
              </w:rPr>
              <w:t xml:space="preserve">Παράδειγμα: "Πώς μπορεί η αφήγηση ιστοριών να κάνει τους αλγόριθμους πιο ελκυστικούς για τα κορίτσια;"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tabs>
          <w:tab w:val="left" w:leader="none" w:pos="1620"/>
        </w:tabs>
        <w:rPr/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224"/>
        <w:tblW w:w="9067.0" w:type="dxa"/>
        <w:jc w:val="left"/>
        <w:tblBorders>
          <w:top w:color="61ed98" w:space="0" w:sz="4" w:val="single"/>
          <w:left w:color="61ed98" w:space="0" w:sz="4" w:val="single"/>
          <w:bottom w:color="61ed98" w:space="0" w:sz="4" w:val="single"/>
          <w:right w:color="61ed98" w:space="0" w:sz="4" w:val="single"/>
          <w:insideH w:color="61ed98" w:space="0" w:sz="4" w:val="single"/>
          <w:insideV w:color="61ed98" w:space="0" w:sz="4" w:val="single"/>
        </w:tblBorders>
        <w:tblLayout w:type="fixed"/>
        <w:tblLook w:val="04A0"/>
      </w:tblPr>
      <w:tblGrid>
        <w:gridCol w:w="2122"/>
        <w:gridCol w:w="6945"/>
        <w:tblGridChange w:id="0">
          <w:tblGrid>
            <w:gridCol w:w="2122"/>
            <w:gridCol w:w="6945"/>
          </w:tblGrid>
        </w:tblGridChange>
      </w:tblGrid>
      <w:tr>
        <w:trPr>
          <w:cantSplit w:val="0"/>
          <w:trHeight w:val="447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8F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color w:val="f2f2f2"/>
                <w:sz w:val="24"/>
                <w:szCs w:val="24"/>
                <w:rtl w:val="0"/>
              </w:rPr>
              <w:t xml:space="preserve">ΒΑΣΙΚΑ ΣΤΟΙΧΕΙΑ</w:t>
            </w:r>
          </w:p>
        </w:tc>
      </w:tr>
      <w:tr>
        <w:trPr>
          <w:cantSplit w:val="0"/>
          <w:trHeight w:val="410" w:hRule="atLeast"/>
          <w:tblHeader w:val="0"/>
        </w:trPr>
        <w:tc>
          <w:tcPr/>
          <w:p w:rsidR="00000000" w:rsidDel="00000000" w:rsidP="00000000" w:rsidRDefault="00000000" w:rsidRPr="00000000" w14:paraId="00000091">
            <w:pPr>
              <w:rPr>
                <w:color w:val="f2f2f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Αναστοχασμός και συμπέρασμα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Διαφάνεια 17: Αναστοχασμός και συμπέρασμα (5 λεπτά)</w:t>
            </w:r>
          </w:p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Ανακεφαλαιώστε 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11"/>
              </w:numPr>
              <w:spacing w:after="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Ανατροφοδότηση: </w:t>
            </w:r>
            <w:r w:rsidDel="00000000" w:rsidR="00000000" w:rsidRPr="00000000">
              <w:rPr>
                <w:rtl w:val="0"/>
              </w:rPr>
              <w:t xml:space="preserve"> Καλέστε τους μαθητές να δώσουν ανατροφοδότηση για το μάθημα και ζητήστε από τον καθένα τους να πει μία λέξη για το μάθημα!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Επανεξέταση των βασικών σημείων: </w:t>
            </w:r>
            <w:r w:rsidDel="00000000" w:rsidR="00000000" w:rsidRPr="00000000">
              <w:rPr>
                <w:rtl w:val="0"/>
              </w:rPr>
              <w:t xml:space="preserve">Συνοψίστε εν συντομία το περιεχόμενο της ενότητας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Επόμενα βήματα: </w:t>
            </w:r>
            <w:r w:rsidDel="00000000" w:rsidR="00000000" w:rsidRPr="00000000">
              <w:rPr>
                <w:color w:val="1d1d1b"/>
                <w:rtl w:val="0"/>
              </w:rPr>
              <w:t xml:space="preserve">Ενότητα 7.2: Σχεδιασμός παρεμβάσεων για την εντοπισμένη πρόκληση.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098">
            <w:pPr>
              <w:rPr/>
            </w:pPr>
            <w:r w:rsidDel="00000000" w:rsidR="00000000" w:rsidRPr="00000000">
              <w:rPr>
                <w:rtl w:val="0"/>
              </w:rPr>
              <w:t xml:space="preserve">Κατ' οίκον εργασία/ Πρόσθετες εργασίες</w:t>
            </w:r>
          </w:p>
        </w:tc>
        <w:tc>
          <w:tcPr/>
          <w:p w:rsidR="00000000" w:rsidDel="00000000" w:rsidP="00000000" w:rsidRDefault="00000000" w:rsidRPr="00000000" w14:paraId="00000099">
            <w:pPr>
              <w:rPr/>
            </w:pPr>
            <w:r w:rsidDel="00000000" w:rsidR="00000000" w:rsidRPr="00000000">
              <w:rPr>
                <w:rtl w:val="0"/>
              </w:rPr>
              <w:t xml:space="preserve">/</w:t>
            </w:r>
          </w:p>
        </w:tc>
      </w:tr>
    </w:tbl>
    <w:p w:rsidR="00000000" w:rsidDel="00000000" w:rsidP="00000000" w:rsidRDefault="00000000" w:rsidRPr="00000000" w14:paraId="0000009A">
      <w:pPr>
        <w:rPr>
          <w:i w:val="1"/>
        </w:rPr>
      </w:pPr>
      <w:r w:rsidDel="00000000" w:rsidR="00000000" w:rsidRPr="00000000">
        <w:rPr>
          <w:rtl w:val="0"/>
        </w:rPr>
      </w:r>
    </w:p>
    <w:sectPr>
      <w:headerReference r:id="rId15" w:type="default"/>
      <w:footerReference r:id="rId16" w:type="default"/>
      <w:pgSz w:h="16839" w:w="11907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749300</wp:posOffset>
              </wp:positionH>
              <wp:positionV relativeFrom="paragraph">
                <wp:posOffset>12700</wp:posOffset>
              </wp:positionV>
              <wp:extent cx="5509895" cy="762000"/>
              <wp:effectExtent b="0" l="0" r="0" t="0"/>
              <wp:wrapNone/>
              <wp:docPr id="1597007057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2652965" y="3460913"/>
                        <a:ext cx="5386070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Calibri" w:cs="Calibri" w:eastAsia="Calibri" w:hAnsi="Calibri"/>
                              <w:b w:val="0"/>
                              <w:i w:val="0"/>
                              <w:smallCaps w:val="0"/>
                              <w:strike w:val="0"/>
                              <w:color w:val="1d1d1b"/>
                              <w:sz w:val="16"/>
                              <w:vertAlign w:val="baseline"/>
                            </w:rPr>
                            <w:t xml:space="preserve">Χρηματοδοτείται από την Ευρωπαϊκή Ένωση. Ωστόσο, οι απόψεις και οι γνώμες που εκφράζονται είναι αποκλειστικά του/των συγγραφέα/ων και δεν αντανακλούν κατ' ανάγκη τις απόψεις και τις γνώμες της Ευρωπαϊκής Ένωσης ή του Ευρωπαϊκού Εκτελεστικού Οργανισμού Εκπαίδευσης και Πολιτισμού (EACEA). Ούτε η Ευρωπαϊκή Ένωση ούτε η χορηγούσα αρχή μπορούν να θεωρηθούν υπεύθυνοι γι' αυτές. Αριθμός έργου: 101132887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749300</wp:posOffset>
              </wp:positionH>
              <wp:positionV relativeFrom="paragraph">
                <wp:posOffset>12700</wp:posOffset>
              </wp:positionV>
              <wp:extent cx="5509895" cy="762000"/>
              <wp:effectExtent b="0" l="0" r="0" t="0"/>
              <wp:wrapNone/>
              <wp:docPr id="1597007057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09895" cy="7620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-645780</wp:posOffset>
          </wp:positionH>
          <wp:positionV relativeFrom="paragraph">
            <wp:posOffset>144780</wp:posOffset>
          </wp:positionV>
          <wp:extent cx="1311570" cy="506095"/>
          <wp:effectExtent b="0" l="0" r="0" t="0"/>
          <wp:wrapNone/>
          <wp:docPr id="159700706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1570" cy="5060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9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1d1d1b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jc w:val="right"/>
      <w:rPr>
        <w:b w:val="1"/>
        <w:color w:val="16c45b"/>
      </w:rPr>
    </w:pPr>
    <w:r w:rsidDel="00000000" w:rsidR="00000000" w:rsidRPr="00000000">
      <w:rPr>
        <w:b w:val="1"/>
        <w:color w:val="16c45b"/>
        <w:rtl w:val="0"/>
      </w:rPr>
      <w:t xml:space="preserve">https://tinker-project.eu/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40404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cs="Roboto" w:eastAsia="Roboto" w:hAnsi="Roboto"/>
        <w:color w:val="404040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40404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cs="Roboto" w:eastAsia="Roboto" w:hAnsi="Roboto"/>
        <w:color w:val="404040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40404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cs="Roboto" w:eastAsia="Roboto" w:hAnsi="Roboto"/>
        <w:color w:val="404040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40404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cs="Roboto" w:eastAsia="Roboto" w:hAnsi="Roboto"/>
        <w:color w:val="404040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color w:val="1d1d1b"/>
        <w:sz w:val="22"/>
        <w:szCs w:val="22"/>
        <w:lang w:val="en_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/>
    <w:rPr>
      <w:b w:val="1"/>
      <w:color w:val="16c45b"/>
      <w:sz w:val="36"/>
      <w:szCs w:val="36"/>
    </w:rPr>
  </w:style>
  <w:style w:type="paragraph" w:styleId="Heading2">
    <w:name w:val="heading 2"/>
    <w:basedOn w:val="Normal"/>
    <w:next w:val="Normal"/>
    <w:pPr/>
    <w:rPr>
      <w:b w:val="1"/>
      <w:color w:val="16c45b"/>
      <w:sz w:val="28"/>
      <w:szCs w:val="28"/>
    </w:rPr>
  </w:style>
  <w:style w:type="paragraph" w:styleId="Heading3">
    <w:name w:val="heading 3"/>
    <w:basedOn w:val="Normal"/>
    <w:next w:val="Normal"/>
    <w:pPr/>
    <w:rPr>
      <w:b w:val="1"/>
      <w:i w:val="1"/>
      <w:color w:val="1d1d1b"/>
      <w:sz w:val="26"/>
      <w:szCs w:val="26"/>
    </w:rPr>
  </w:style>
  <w:style w:type="paragraph" w:styleId="Heading4">
    <w:name w:val="heading 4"/>
    <w:basedOn w:val="Normal"/>
    <w:next w:val="Normal"/>
    <w:pPr/>
    <w:rPr>
      <w:b w:val="1"/>
      <w:i w:val="1"/>
      <w:color w:val="2b454e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</w:pPr>
    <w:rPr>
      <w:color w:val="16c45b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color w:val="0a612d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E72EE"/>
  </w:style>
  <w:style w:type="paragraph" w:styleId="Footer">
    <w:name w:val="footer"/>
    <w:basedOn w:val="Normal"/>
    <w:link w:val="FooterChar"/>
    <w:uiPriority w:val="99"/>
    <w:unhideWhenUsed w:val="1"/>
    <w:rsid w:val="000E72EE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E72EE"/>
  </w:style>
  <w:style w:type="character" w:styleId="Heading1Char" w:customStyle="1">
    <w:name w:val="Heading 1 Char"/>
    <w:basedOn w:val="DefaultParagraphFont"/>
    <w:link w:val="Heading1"/>
    <w:uiPriority w:val="9"/>
    <w:rsid w:val="001C523D"/>
    <w:rPr>
      <w:rFonts w:ascii="Calibri" w:hAnsi="Calibri"/>
      <w:b w:val="1"/>
      <w:color w:val="16c45b" w:themeColor="accent6"/>
      <w:sz w:val="36"/>
      <w:szCs w:val="36"/>
    </w:rPr>
  </w:style>
  <w:style w:type="character" w:styleId="Heading2Char" w:customStyle="1">
    <w:name w:val="Heading 2 Char"/>
    <w:basedOn w:val="DefaultParagraphFont"/>
    <w:link w:val="Heading2"/>
    <w:uiPriority w:val="9"/>
    <w:rsid w:val="00986B82"/>
    <w:rPr>
      <w:rFonts w:ascii="Calibri" w:hAnsi="Calibri"/>
      <w:b w:val="1"/>
      <w:color w:val="16c45b" w:themeColor="accent3"/>
      <w:sz w:val="28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sid w:val="00986B82"/>
    <w:rPr>
      <w:rFonts w:ascii="Calibri" w:hAnsi="Calibri"/>
      <w:b w:val="1"/>
      <w:i w:val="1"/>
      <w:color w:val="1d1d1b" w:themeColor="accent2"/>
      <w:sz w:val="26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986B82"/>
    <w:rPr>
      <w:rFonts w:ascii="Calibri" w:hAnsi="Calibri"/>
      <w:b w:val="1"/>
      <w:i w:val="1"/>
      <w:color w:val="2b454e" w:themeColor="accent4"/>
      <w:sz w:val="24"/>
      <w:szCs w:val="28"/>
    </w:rPr>
  </w:style>
  <w:style w:type="paragraph" w:styleId="ListParagraph">
    <w:name w:val="List Paragraph"/>
    <w:basedOn w:val="Normal"/>
    <w:uiPriority w:val="34"/>
    <w:qFormat w:val="1"/>
    <w:rsid w:val="00B22564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E96CD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basedOn w:val="DefaultParagraphFont"/>
    <w:uiPriority w:val="99"/>
    <w:unhideWhenUsed w:val="1"/>
    <w:rsid w:val="001C523D"/>
    <w:rPr>
      <w:color w:val="16c45b" w:themeColor="hyperlink"/>
      <w:u w:val="single"/>
    </w:rPr>
  </w:style>
  <w:style w:type="paragraph" w:styleId="TOC1">
    <w:name w:val="toc 1"/>
    <w:basedOn w:val="Normal"/>
    <w:next w:val="Normal"/>
    <w:autoRedefine w:val="1"/>
    <w:uiPriority w:val="39"/>
    <w:unhideWhenUsed w:val="1"/>
    <w:rsid w:val="00986B82"/>
    <w:pPr>
      <w:spacing w:after="100"/>
    </w:pPr>
    <w:rPr>
      <w:rFonts w:asciiTheme="minorHAnsi" w:hAnsiTheme="minorHAnsi"/>
      <w:b w:val="1"/>
      <w:color w:val="16c45b" w:themeColor="accent6"/>
      <w:sz w:val="36"/>
    </w:rPr>
  </w:style>
  <w:style w:type="paragraph" w:styleId="TOC2">
    <w:name w:val="toc 2"/>
    <w:basedOn w:val="Normal"/>
    <w:next w:val="Normal"/>
    <w:autoRedefine w:val="1"/>
    <w:uiPriority w:val="39"/>
    <w:unhideWhenUsed w:val="1"/>
    <w:rsid w:val="00CA7C55"/>
    <w:pPr>
      <w:spacing w:after="100"/>
      <w:ind w:left="220"/>
    </w:pPr>
    <w:rPr>
      <w:rFonts w:asciiTheme="minorHAnsi" w:hAnsiTheme="minorHAnsi"/>
      <w:b w:val="1"/>
      <w:color w:val="16c45b" w:themeColor="accent3"/>
      <w:sz w:val="28"/>
    </w:rPr>
  </w:style>
  <w:style w:type="paragraph" w:styleId="TOC3">
    <w:name w:val="toc 3"/>
    <w:basedOn w:val="Normal"/>
    <w:next w:val="Normal"/>
    <w:autoRedefine w:val="1"/>
    <w:uiPriority w:val="39"/>
    <w:unhideWhenUsed w:val="1"/>
    <w:rsid w:val="00CA7C55"/>
    <w:pPr>
      <w:spacing w:after="100"/>
      <w:ind w:left="440"/>
    </w:pPr>
    <w:rPr>
      <w:rFonts w:asciiTheme="minorHAnsi" w:hAnsiTheme="minorHAnsi"/>
      <w:b w:val="1"/>
      <w:i w:val="1"/>
      <w:color w:val="1d1d1b" w:themeColor="accent2"/>
      <w:sz w:val="26"/>
    </w:rPr>
  </w:style>
  <w:style w:type="paragraph" w:styleId="NormalWeb">
    <w:name w:val="Normal (Web)"/>
    <w:basedOn w:val="Normal"/>
    <w:uiPriority w:val="99"/>
    <w:unhideWhenUsed w:val="1"/>
    <w:rsid w:val="007F6B3C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EastAsia"/>
      <w:sz w:val="24"/>
      <w:szCs w:val="24"/>
    </w:rPr>
  </w:style>
  <w:style w:type="character" w:styleId="Heading5Char" w:customStyle="1">
    <w:name w:val="Heading 5 Char"/>
    <w:basedOn w:val="DefaultParagraphFont"/>
    <w:link w:val="Heading5"/>
    <w:uiPriority w:val="9"/>
    <w:rsid w:val="00986B82"/>
    <w:rPr>
      <w:rFonts w:ascii="Calibri" w:hAnsi="Calibri" w:cstheme="majorBidi" w:eastAsiaTheme="majorEastAsia"/>
      <w:color w:val="16c45b" w:themeColor="accent6"/>
    </w:rPr>
  </w:style>
  <w:style w:type="paragraph" w:styleId="TOC4">
    <w:name w:val="toc 4"/>
    <w:basedOn w:val="Normal"/>
    <w:next w:val="Normal"/>
    <w:autoRedefine w:val="1"/>
    <w:uiPriority w:val="39"/>
    <w:semiHidden w:val="1"/>
    <w:unhideWhenUsed w:val="1"/>
    <w:rsid w:val="00CA7C55"/>
    <w:pPr>
      <w:spacing w:after="100"/>
      <w:ind w:left="660"/>
    </w:pPr>
    <w:rPr>
      <w:rFonts w:asciiTheme="minorHAnsi" w:hAnsiTheme="minorHAnsi"/>
      <w:b w:val="1"/>
      <w:i w:val="1"/>
      <w:color w:val="2b454e" w:themeColor="accent4"/>
      <w:sz w:val="24"/>
    </w:rPr>
  </w:style>
  <w:style w:type="paragraph" w:styleId="TOC5">
    <w:name w:val="toc 5"/>
    <w:basedOn w:val="Normal"/>
    <w:next w:val="Normal"/>
    <w:autoRedefine w:val="1"/>
    <w:uiPriority w:val="39"/>
    <w:semiHidden w:val="1"/>
    <w:unhideWhenUsed w:val="1"/>
    <w:rsid w:val="00CA7C55"/>
    <w:pPr>
      <w:spacing w:after="100"/>
      <w:ind w:left="880"/>
    </w:pPr>
    <w:rPr>
      <w:rFonts w:asciiTheme="minorHAnsi" w:hAnsiTheme="minorHAnsi"/>
      <w:color w:val="16c45b" w:themeColor="accent6"/>
    </w:rPr>
  </w:style>
  <w:style w:type="paragraph" w:styleId="NoSpacing">
    <w:name w:val="No Spacing"/>
    <w:uiPriority w:val="1"/>
    <w:qFormat w:val="1"/>
    <w:rsid w:val="00BF096B"/>
    <w:pPr>
      <w:spacing w:after="0" w:line="240" w:lineRule="auto"/>
    </w:pPr>
    <w:rPr>
      <w:color w:val="1d1d1b" w:themeColor="text1"/>
    </w:rPr>
  </w:style>
  <w:style w:type="table" w:styleId="GridTable1Light-Accent6">
    <w:name w:val="Grid Table 1 Light Accent 6"/>
    <w:basedOn w:val="TableNormal"/>
    <w:uiPriority w:val="46"/>
    <w:rsid w:val="00A510EA"/>
    <w:pPr>
      <w:spacing w:after="0" w:line="240" w:lineRule="auto"/>
    </w:pPr>
    <w:tblPr>
      <w:tblStyleRowBandSize w:val="1"/>
      <w:tblStyleColBandSize w:val="1"/>
      <w:tblBorders>
        <w:top w:color="95f3ba" w:space="0" w:sz="4" w:themeColor="accent6" w:themeTint="000066" w:val="single"/>
        <w:left w:color="95f3ba" w:space="0" w:sz="4" w:themeColor="accent6" w:themeTint="000066" w:val="single"/>
        <w:bottom w:color="95f3ba" w:space="0" w:sz="4" w:themeColor="accent6" w:themeTint="000066" w:val="single"/>
        <w:right w:color="95f3ba" w:space="0" w:sz="4" w:themeColor="accent6" w:themeTint="000066" w:val="single"/>
        <w:insideH w:color="95f3ba" w:space="0" w:sz="4" w:themeColor="accent6" w:themeTint="000066" w:val="single"/>
        <w:insideV w:color="95f3ba" w:space="0" w:sz="4" w:themeColor="accent6" w:themeTint="000066" w:val="single"/>
      </w:tblBorders>
    </w:tblPr>
    <w:tblStylePr w:type="firstRow">
      <w:rPr>
        <w:b w:val="1"/>
        <w:bCs w:val="1"/>
      </w:rPr>
      <w:tblPr/>
      <w:tcPr>
        <w:tcBorders>
          <w:bottom w:color="61ed98" w:space="0" w:sz="12" w:themeColor="accent6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61ed98" w:space="0" w:sz="2" w:themeColor="accent6" w:themeTint="000099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</w:style>
  <w:style w:type="table" w:styleId="GridTable5Dark-Accent6">
    <w:name w:val="Grid Table 5 Dark Accent 6"/>
    <w:basedOn w:val="TableNormal"/>
    <w:uiPriority w:val="50"/>
    <w:rsid w:val="00A510EA"/>
    <w:pPr>
      <w:spacing w:after="0" w:line="240" w:lineRule="auto"/>
    </w:pPr>
    <w:tblPr>
      <w:tblStyleRowBandSize w:val="1"/>
      <w:tblStyleColBandSize w:val="1"/>
      <w:tblBorders>
        <w:top w:color="d1d1d1" w:space="0" w:sz="4" w:themeColor="background1" w:val="single"/>
        <w:left w:color="d1d1d1" w:space="0" w:sz="4" w:themeColor="background1" w:val="single"/>
        <w:bottom w:color="d1d1d1" w:space="0" w:sz="4" w:themeColor="background1" w:val="single"/>
        <w:right w:color="d1d1d1" w:space="0" w:sz="4" w:themeColor="background1" w:val="single"/>
        <w:insideH w:color="d1d1d1" w:space="0" w:sz="4" w:themeColor="background1" w:val="single"/>
        <w:insideV w:color="d1d1d1" w:space="0" w:sz="4" w:themeColor="background1" w:val="single"/>
      </w:tblBorders>
    </w:tblPr>
    <w:tcPr>
      <w:shd w:color="auto" w:fill="caf9dc" w:themeFill="accent6" w:themeFillTint="000033" w:val="clear"/>
    </w:tcPr>
    <w:tblStylePr w:type="firstRow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lastRow">
      <w:rPr>
        <w:b w:val="1"/>
        <w:bCs w:val="1"/>
        <w:color w:val="d1d1d1" w:themeColor="background1"/>
      </w:rPr>
      <w:tblPr/>
      <w:tcPr>
        <w:tcBorders>
          <w:left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H w:space="0" w:sz="0" w:val="nil"/>
          <w:insideV w:space="0" w:sz="0" w:val="nil"/>
        </w:tcBorders>
        <w:shd w:color="auto" w:fill="16c45b" w:themeFill="accent6" w:val="clear"/>
      </w:tcPr>
    </w:tblStylePr>
    <w:tblStylePr w:type="fir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left w:color="d1d1d1" w:space="0" w:sz="4" w:themeColor="background1" w:val="single"/>
          <w:bottom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lastCol">
      <w:rPr>
        <w:b w:val="1"/>
        <w:bCs w:val="1"/>
        <w:color w:val="d1d1d1" w:themeColor="background1"/>
      </w:rPr>
      <w:tblPr/>
      <w:tcPr>
        <w:tcBorders>
          <w:top w:color="d1d1d1" w:space="0" w:sz="4" w:themeColor="background1" w:val="single"/>
          <w:bottom w:color="d1d1d1" w:space="0" w:sz="4" w:themeColor="background1" w:val="single"/>
          <w:right w:color="d1d1d1" w:space="0" w:sz="4" w:themeColor="background1" w:val="single"/>
          <w:insideV w:space="0" w:sz="0" w:val="nil"/>
        </w:tcBorders>
        <w:shd w:color="auto" w:fill="16c45b" w:themeFill="accent6" w:val="clear"/>
      </w:tcPr>
    </w:tblStylePr>
    <w:tblStylePr w:type="band1Vert">
      <w:tblPr/>
      <w:tcPr>
        <w:shd w:color="auto" w:fill="95f3ba" w:themeFill="accent6" w:themeFillTint="000066" w:val="clear"/>
      </w:tcPr>
    </w:tblStylePr>
    <w:tblStylePr w:type="band1Horz">
      <w:tblPr/>
      <w:tcPr>
        <w:shd w:color="auto" w:fill="95f3ba" w:themeFill="accent6" w:themeFillTint="000066" w:val="clear"/>
      </w:tcPr>
    </w:tblStyle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BF096B"/>
    <w:rPr>
      <w:rFonts w:ascii="Calibri" w:hAnsi="Calibri" w:cstheme="majorBidi" w:eastAsiaTheme="majorEastAsia"/>
      <w:color w:val="0b612d" w:themeColor="accent1" w:themeShade="00007F"/>
    </w:rPr>
  </w:style>
  <w:style w:type="table" w:styleId="GridTable4-Accent1">
    <w:name w:val="Grid Table 4 Accent 1"/>
    <w:basedOn w:val="TableNormal"/>
    <w:uiPriority w:val="49"/>
    <w:rsid w:val="001C0AB3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1" w:themeTint="000099" w:val="single"/>
        <w:left w:color="61ed98" w:space="0" w:sz="4" w:themeColor="accent1" w:themeTint="000099" w:val="single"/>
        <w:bottom w:color="61ed98" w:space="0" w:sz="4" w:themeColor="accent1" w:themeTint="000099" w:val="single"/>
        <w:right w:color="61ed98" w:space="0" w:sz="4" w:themeColor="accent1" w:themeTint="000099" w:val="single"/>
        <w:insideH w:color="61ed98" w:space="0" w:sz="4" w:themeColor="accent1" w:themeTint="000099" w:val="single"/>
        <w:insideV w:color="61ed98" w:space="0" w:sz="4" w:themeColor="accent1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1" w:val="single"/>
          <w:left w:color="16c45b" w:space="0" w:sz="4" w:themeColor="accent1" w:val="single"/>
          <w:bottom w:color="16c45b" w:space="0" w:sz="4" w:themeColor="accent1" w:val="single"/>
          <w:right w:color="16c45b" w:space="0" w:sz="4" w:themeColor="accent1" w:val="single"/>
          <w:insideH w:space="0" w:sz="0" w:val="nil"/>
          <w:insideV w:space="0" w:sz="0" w:val="nil"/>
        </w:tcBorders>
        <w:shd w:color="auto" w:fill="16c45b" w:themeFill="accent1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1" w:themeFillTint="000033" w:val="clear"/>
      </w:tcPr>
    </w:tblStylePr>
    <w:tblStylePr w:type="band1Horz">
      <w:tblPr/>
      <w:tcPr>
        <w:shd w:color="auto" w:fill="caf9dc" w:themeFill="accent1" w:themeFillTint="000033" w:val="clear"/>
      </w:tcPr>
    </w:tblStyle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405D90"/>
    <w:rPr>
      <w:color w:val="16c45b" w:themeColor="followedHyperlink"/>
      <w:u w:val="single"/>
    </w:rPr>
  </w:style>
  <w:style w:type="paragraph" w:styleId="Style1" w:customStyle="1">
    <w:name w:val="Style1"/>
    <w:basedOn w:val="Normal"/>
    <w:qFormat w:val="1"/>
    <w:rsid w:val="001C523D"/>
    <w:pPr>
      <w:jc w:val="right"/>
    </w:pPr>
    <w:rPr>
      <w:color w:val="16c45b" w:themeColor="accent3"/>
    </w:rPr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1C523D"/>
    <w:rPr>
      <w:color w:val="605e5c"/>
      <w:shd w:color="auto" w:fill="e1dfdd" w:val="clear"/>
    </w:rPr>
  </w:style>
  <w:style w:type="table" w:styleId="GridTable4-Accent2">
    <w:name w:val="Grid Table 4 Accent 2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7a7a72" w:space="0" w:sz="4" w:themeColor="accent2" w:themeTint="000099" w:val="single"/>
        <w:left w:color="7a7a72" w:space="0" w:sz="4" w:themeColor="accent2" w:themeTint="000099" w:val="single"/>
        <w:bottom w:color="7a7a72" w:space="0" w:sz="4" w:themeColor="accent2" w:themeTint="000099" w:val="single"/>
        <w:right w:color="7a7a72" w:space="0" w:sz="4" w:themeColor="accent2" w:themeTint="000099" w:val="single"/>
        <w:insideH w:color="7a7a72" w:space="0" w:sz="4" w:themeColor="accent2" w:themeTint="000099" w:val="single"/>
        <w:insideV w:color="7a7a72" w:space="0" w:sz="4" w:themeColor="accent2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d1d1b" w:space="0" w:sz="4" w:themeColor="accent2" w:val="single"/>
          <w:left w:color="1d1d1b" w:space="0" w:sz="4" w:themeColor="accent2" w:val="single"/>
          <w:bottom w:color="1d1d1b" w:space="0" w:sz="4" w:themeColor="accent2" w:val="single"/>
          <w:right w:color="1d1d1b" w:space="0" w:sz="4" w:themeColor="accent2" w:val="single"/>
          <w:insideH w:space="0" w:sz="0" w:val="nil"/>
          <w:insideV w:space="0" w:sz="0" w:val="nil"/>
        </w:tcBorders>
        <w:shd w:color="auto" w:fill="1d1d1b" w:themeFill="accent2" w:val="clear"/>
      </w:tcPr>
    </w:tblStylePr>
    <w:tblStylePr w:type="lastRow">
      <w:rPr>
        <w:b w:val="1"/>
        <w:bCs w:val="1"/>
      </w:rPr>
      <w:tblPr/>
      <w:tcPr>
        <w:tcBorders>
          <w:top w:color="1d1d1b" w:space="0" w:sz="4" w:themeColor="accent2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3cf" w:themeFill="accent2" w:themeFillTint="000033" w:val="clear"/>
      </w:tcPr>
    </w:tblStylePr>
    <w:tblStylePr w:type="band1Horz">
      <w:tblPr/>
      <w:tcPr>
        <w:shd w:color="auto" w:fill="d3d3cf" w:themeFill="accent2" w:themeFillTint="000033" w:val="clear"/>
      </w:tcPr>
    </w:tblStylePr>
  </w:style>
  <w:style w:type="table" w:styleId="GridTable4-Accent4">
    <w:name w:val="Grid Table 4 Accent 4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89aac" w:space="0" w:sz="4" w:themeColor="accent4" w:themeTint="000099" w:val="single"/>
        <w:left w:color="689aac" w:space="0" w:sz="4" w:themeColor="accent4" w:themeTint="000099" w:val="single"/>
        <w:bottom w:color="689aac" w:space="0" w:sz="4" w:themeColor="accent4" w:themeTint="000099" w:val="single"/>
        <w:right w:color="689aac" w:space="0" w:sz="4" w:themeColor="accent4" w:themeTint="000099" w:val="single"/>
        <w:insideH w:color="689aac" w:space="0" w:sz="4" w:themeColor="accent4" w:themeTint="000099" w:val="single"/>
        <w:insideV w:color="689aac" w:space="0" w:sz="4" w:themeColor="accent4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2b454e" w:space="0" w:sz="4" w:themeColor="accent4" w:val="single"/>
          <w:left w:color="2b454e" w:space="0" w:sz="4" w:themeColor="accent4" w:val="single"/>
          <w:bottom w:color="2b454e" w:space="0" w:sz="4" w:themeColor="accent4" w:val="single"/>
          <w:right w:color="2b454e" w:space="0" w:sz="4" w:themeColor="accent4" w:val="single"/>
          <w:insideH w:space="0" w:sz="0" w:val="nil"/>
          <w:insideV w:space="0" w:sz="0" w:val="nil"/>
        </w:tcBorders>
        <w:shd w:color="auto" w:fill="2b454e" w:themeFill="accent4" w:val="clear"/>
      </w:tcPr>
    </w:tblStylePr>
    <w:tblStylePr w:type="lastRow">
      <w:rPr>
        <w:b w:val="1"/>
        <w:bCs w:val="1"/>
      </w:rPr>
      <w:tblPr/>
      <w:tcPr>
        <w:tcBorders>
          <w:top w:color="2b454e" w:space="0" w:sz="4" w:themeColor="accent4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cdde3" w:themeFill="accent4" w:themeFillTint="000033" w:val="clear"/>
      </w:tcPr>
    </w:tblStylePr>
    <w:tblStylePr w:type="band1Horz">
      <w:tblPr/>
      <w:tcPr>
        <w:shd w:color="auto" w:fill="ccdde3" w:themeFill="accent4" w:themeFillTint="000033" w:val="clear"/>
      </w:tcPr>
    </w:tblStylePr>
  </w:style>
  <w:style w:type="table" w:styleId="GridTable4-Accent3">
    <w:name w:val="Grid Table 4 Accent 3"/>
    <w:basedOn w:val="TableNormal"/>
    <w:uiPriority w:val="49"/>
    <w:rsid w:val="001C523D"/>
    <w:pPr>
      <w:spacing w:after="0" w:line="240" w:lineRule="auto"/>
    </w:pPr>
    <w:tblPr>
      <w:tblStyleRowBandSize w:val="1"/>
      <w:tblStyleColBandSize w:val="1"/>
      <w:tblBorders>
        <w:top w:color="61ed98" w:space="0" w:sz="4" w:themeColor="accent3" w:themeTint="000099" w:val="single"/>
        <w:left w:color="61ed98" w:space="0" w:sz="4" w:themeColor="accent3" w:themeTint="000099" w:val="single"/>
        <w:bottom w:color="61ed98" w:space="0" w:sz="4" w:themeColor="accent3" w:themeTint="000099" w:val="single"/>
        <w:right w:color="61ed98" w:space="0" w:sz="4" w:themeColor="accent3" w:themeTint="000099" w:val="single"/>
        <w:insideH w:color="61ed98" w:space="0" w:sz="4" w:themeColor="accent3" w:themeTint="000099" w:val="single"/>
        <w:insideV w:color="61ed98" w:space="0" w:sz="4" w:themeColor="accent3" w:themeTint="000099" w:val="single"/>
      </w:tblBorders>
    </w:tblPr>
    <w:tblStylePr w:type="firstRow">
      <w:rPr>
        <w:b w:val="1"/>
        <w:bCs w:val="1"/>
        <w:color w:val="d1d1d1" w:themeColor="background1"/>
      </w:rPr>
      <w:tblPr/>
      <w:tcPr>
        <w:tcBorders>
          <w:top w:color="16c45b" w:space="0" w:sz="4" w:themeColor="accent3" w:val="single"/>
          <w:left w:color="16c45b" w:space="0" w:sz="4" w:themeColor="accent3" w:val="single"/>
          <w:bottom w:color="16c45b" w:space="0" w:sz="4" w:themeColor="accent3" w:val="single"/>
          <w:right w:color="16c45b" w:space="0" w:sz="4" w:themeColor="accent3" w:val="single"/>
          <w:insideH w:space="0" w:sz="0" w:val="nil"/>
          <w:insideV w:space="0" w:sz="0" w:val="nil"/>
        </w:tcBorders>
        <w:shd w:color="auto" w:fill="16c45b" w:themeFill="accent3" w:val="clear"/>
      </w:tcPr>
    </w:tblStylePr>
    <w:tblStylePr w:type="lastRow">
      <w:rPr>
        <w:b w:val="1"/>
        <w:bCs w:val="1"/>
      </w:rPr>
      <w:tblPr/>
      <w:tcPr>
        <w:tcBorders>
          <w:top w:color="16c45b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af9dc" w:themeFill="accent3" w:themeFillTint="000033" w:val="clear"/>
      </w:tcPr>
    </w:tblStylePr>
    <w:tblStylePr w:type="band1Horz">
      <w:tblPr/>
      <w:tcPr>
        <w:shd w:color="auto" w:fill="caf9dc" w:themeFill="accent3" w:themeFillTint="000033" w:val="clear"/>
      </w:tcPr>
    </w:tblStyle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BB3C31"/>
    <w:pPr>
      <w:keepNext w:val="1"/>
      <w:keepLines w:val="1"/>
      <w:spacing w:after="0" w:before="240"/>
      <w:outlineLvl w:val="9"/>
    </w:pPr>
    <w:rPr>
      <w:rFonts w:asciiTheme="majorHAnsi" w:cstheme="majorBidi" w:eastAsiaTheme="majorEastAsia" w:hAnsiTheme="majorHAnsi"/>
      <w:b w:val="0"/>
      <w:color w:val="109243" w:themeColor="accent1" w:themeShade="0000BF"/>
      <w:sz w:val="32"/>
      <w:szCs w:val="32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3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4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5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a6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caf9dc" w:val="clear"/>
    </w:tcPr>
    <w:tblStylePr w:type="firstRow">
      <w:rPr>
        <w:b w:val="1"/>
        <w:color w:val="d1d1d1"/>
      </w:rPr>
      <w:tblPr/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space="0" w:sz="0" w:val="nil"/>
          <w:insideV w:space="0" w:sz="0" w:val="nil"/>
        </w:tcBorders>
        <w:shd w:color="auto" w:fill="16c45b" w:val="clear"/>
      </w:tcPr>
    </w:tblStylePr>
    <w:tblStylePr w:type="lastRow">
      <w:rPr>
        <w:b w:val="1"/>
      </w:rPr>
      <w:tblPr/>
      <w:tcPr>
        <w:tcBorders>
          <w:top w:color="16c45b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shd w:color="auto" w:fill="caf9dc" w:val="clear"/>
      </w:tcPr>
    </w:tblStylePr>
    <w:tblStylePr w:type="band1Horz">
      <w:tblPr/>
      <w:tcPr>
        <w:shd w:color="auto" w:fill="caf9dc" w:val="clear"/>
      </w:tcPr>
    </w:tblStyle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af9dc" w:val="clear"/>
    </w:tcPr>
    <w:tblStylePr w:type="band1Horz">
      <w:tcPr>
        <w:shd w:fill="caf9dc" w:val="clear"/>
      </w:tcPr>
    </w:tblStylePr>
    <w:tblStylePr w:type="band1Vert">
      <w:tcPr>
        <w:shd w:fill="caf9dc" w:val="clear"/>
      </w:tcPr>
    </w:tblStylePr>
    <w:tblStylePr w:type="firstCol">
      <w:rPr>
        <w:b w:val="1"/>
      </w:rPr>
    </w:tblStylePr>
    <w:tblStylePr w:type="firstRow">
      <w:rPr>
        <w:b w:val="1"/>
        <w:color w:val="d1d1d1"/>
      </w:rPr>
      <w:tcPr>
        <w:tcBorders>
          <w:top w:color="16c45b" w:space="0" w:sz="4" w:val="single"/>
          <w:left w:color="16c45b" w:space="0" w:sz="4" w:val="single"/>
          <w:bottom w:color="16c45b" w:space="0" w:sz="4" w:val="single"/>
          <w:right w:color="16c45b" w:space="0" w:sz="4" w:val="single"/>
          <w:insideH w:color="000000" w:space="0" w:sz="0" w:val="nil"/>
          <w:insideV w:color="000000" w:space="0" w:sz="0" w:val="nil"/>
        </w:tcBorders>
        <w:shd w:fill="16c45b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16c45b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miro.com/" TargetMode="External"/><Relationship Id="rId10" Type="http://schemas.openxmlformats.org/officeDocument/2006/relationships/image" Target="media/image4.jpg"/><Relationship Id="rId13" Type="http://schemas.openxmlformats.org/officeDocument/2006/relationships/hyperlink" Target="https://www.naeyc.org/sites/default/files/globally-shared/downloads/PDFs/resources/pubs/How%20to%20do%20Action%20Research.pdf" TargetMode="External"/><Relationship Id="rId12" Type="http://schemas.openxmlformats.org/officeDocument/2006/relationships/hyperlink" Target="https://www.figma.com/figjam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15" Type="http://schemas.openxmlformats.org/officeDocument/2006/relationships/header" Target="header1.xml"/><Relationship Id="rId14" Type="http://schemas.openxmlformats.org/officeDocument/2006/relationships/hyperlink" Target="https://www.nfer.ac.uk/media/texbxexa/how_to_run_action_research_do_it_yourself.pdf" TargetMode="Externa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TINKER">
      <a:dk1>
        <a:srgbClr val="1D1D1B"/>
      </a:dk1>
      <a:lt1>
        <a:srgbClr val="D1D1D1"/>
      </a:lt1>
      <a:dk2>
        <a:srgbClr val="1D1D1B"/>
      </a:dk2>
      <a:lt2>
        <a:srgbClr val="F2F2F2"/>
      </a:lt2>
      <a:accent1>
        <a:srgbClr val="16C45B"/>
      </a:accent1>
      <a:accent2>
        <a:srgbClr val="1D1D1B"/>
      </a:accent2>
      <a:accent3>
        <a:srgbClr val="16C45B"/>
      </a:accent3>
      <a:accent4>
        <a:srgbClr val="2B454E"/>
      </a:accent4>
      <a:accent5>
        <a:srgbClr val="C36358"/>
      </a:accent5>
      <a:accent6>
        <a:srgbClr val="16C45B"/>
      </a:accent6>
      <a:hlink>
        <a:srgbClr val="16C45B"/>
      </a:hlink>
      <a:folHlink>
        <a:srgbClr val="16C45B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Q0RIENI6pxyUOYVUvzxm5LpSBg==">CgMxLjAyDmgud2YzdWc5anUwczNnMg1oLnFwM2kzenpxZWZmOAByITFSY0VTRFNzODUxbEhKNXUyVkFBcWN2dTRTbTBJUGNvcw==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2024-11-19T18:10:00.0000000Z</dcterms:created>
  <dc:creator>Helen</dc:creator>
</cp:coreProperties>
</file>